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77F" w14:textId="033493CF" w:rsidR="005F7019" w:rsidRPr="005F7019" w:rsidRDefault="005F7019" w:rsidP="00981E54">
      <w:pPr>
        <w:rPr>
          <w:b/>
          <w:bCs/>
        </w:rPr>
      </w:pPr>
      <w:r w:rsidRPr="005F7019">
        <w:rPr>
          <w:b/>
          <w:bCs/>
        </w:rPr>
        <w:t>VEHICLE FUELING &amp; TRAVEL DISTANCE – Preparing for Fire Evacuation</w:t>
      </w:r>
    </w:p>
    <w:p w14:paraId="7419E094" w14:textId="0E305CA6" w:rsidR="00981E54" w:rsidRPr="00981E54" w:rsidRDefault="00981E54" w:rsidP="00981E54">
      <w:r w:rsidRPr="00981E54">
        <w:t xml:space="preserve">You may have heard advice that, </w:t>
      </w:r>
      <w:proofErr w:type="gramStart"/>
      <w:r w:rsidRPr="00981E54">
        <w:t>in order to</w:t>
      </w:r>
      <w:proofErr w:type="gramEnd"/>
      <w:r w:rsidRPr="00981E54">
        <w:t xml:space="preserve"> be ready for evacuation during fire season, vehicles should always have a half-tank of gas or more, in case it becomes difficult to refuel.  So, what does this mean for travel distance?  It depends on your </w:t>
      </w:r>
      <w:proofErr w:type="gramStart"/>
      <w:r w:rsidRPr="00981E54">
        <w:t>particular vehicle</w:t>
      </w:r>
      <w:proofErr w:type="gramEnd"/>
      <w:r w:rsidRPr="00981E54">
        <w:t xml:space="preserve"> type.  Total range is a function of fuel mileage and tank or battery size.</w:t>
      </w:r>
    </w:p>
    <w:p w14:paraId="1FC971CC" w14:textId="77777777" w:rsidR="00981E54" w:rsidRPr="00981E54" w:rsidRDefault="00981E54" w:rsidP="00981E54"/>
    <w:p w14:paraId="0E1F6578" w14:textId="77777777" w:rsidR="00981E54" w:rsidRPr="00981E54" w:rsidRDefault="00981E54" w:rsidP="00981E54">
      <w:r w:rsidRPr="00981E54">
        <w:t xml:space="preserve">Here is a list of approximate ranges on a </w:t>
      </w:r>
      <w:r w:rsidRPr="00981E54">
        <w:rPr>
          <w:b/>
          <w:bCs/>
        </w:rPr>
        <w:t>half-tank or half-charge (EV)</w:t>
      </w:r>
      <w:r w:rsidRPr="00981E54">
        <w:t>:</w:t>
      </w:r>
    </w:p>
    <w:p w14:paraId="65847592" w14:textId="77777777" w:rsidR="00981E54" w:rsidRPr="00981E54" w:rsidRDefault="00981E54" w:rsidP="00981E54">
      <w:r w:rsidRPr="00981E54">
        <w:pict w14:anchorId="125DB392">
          <v:rect id="_x0000_i1043" style="width:0;height:1.5pt" o:hralign="center" o:hrstd="t" o:hr="t" fillcolor="#a0a0a0" stroked="f"/>
        </w:pic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9"/>
        <w:gridCol w:w="3435"/>
        <w:gridCol w:w="2174"/>
      </w:tblGrid>
      <w:tr w:rsidR="00981E54" w:rsidRPr="00981E54" w14:paraId="6D9F6E5E" w14:textId="77777777" w:rsidTr="005F7019">
        <w:trPr>
          <w:tblHeader/>
          <w:tblCellSpacing w:w="15" w:type="dxa"/>
        </w:trPr>
        <w:tc>
          <w:tcPr>
            <w:tcW w:w="0" w:type="auto"/>
            <w:vAlign w:val="center"/>
            <w:hideMark/>
          </w:tcPr>
          <w:p w14:paraId="259F5F19" w14:textId="77777777" w:rsidR="00981E54" w:rsidRPr="00981E54" w:rsidRDefault="00981E54" w:rsidP="00981E54">
            <w:pPr>
              <w:rPr>
                <w:b/>
                <w:bCs/>
              </w:rPr>
            </w:pPr>
            <w:r w:rsidRPr="00981E54">
              <w:rPr>
                <w:b/>
                <w:bCs/>
              </w:rPr>
              <w:t>Vehicle Type</w:t>
            </w:r>
          </w:p>
        </w:tc>
        <w:tc>
          <w:tcPr>
            <w:tcW w:w="0" w:type="auto"/>
            <w:vAlign w:val="center"/>
            <w:hideMark/>
          </w:tcPr>
          <w:p w14:paraId="6E0FFBA0" w14:textId="77777777" w:rsidR="00981E54" w:rsidRPr="00981E54" w:rsidRDefault="00981E54" w:rsidP="00981E54">
            <w:pPr>
              <w:rPr>
                <w:b/>
                <w:bCs/>
              </w:rPr>
            </w:pPr>
            <w:r w:rsidRPr="00981E54">
              <w:rPr>
                <w:b/>
                <w:bCs/>
              </w:rPr>
              <w:t>Subcategory / Example</w:t>
            </w:r>
          </w:p>
        </w:tc>
        <w:tc>
          <w:tcPr>
            <w:tcW w:w="0" w:type="auto"/>
            <w:vAlign w:val="center"/>
            <w:hideMark/>
          </w:tcPr>
          <w:p w14:paraId="76351625" w14:textId="77777777" w:rsidR="00981E54" w:rsidRPr="00981E54" w:rsidRDefault="00981E54" w:rsidP="00981E54">
            <w:pPr>
              <w:rPr>
                <w:b/>
                <w:bCs/>
              </w:rPr>
            </w:pPr>
            <w:r w:rsidRPr="00981E54">
              <w:rPr>
                <w:b/>
                <w:bCs/>
              </w:rPr>
              <w:t>Half-Range (miles)</w:t>
            </w:r>
          </w:p>
        </w:tc>
      </w:tr>
      <w:tr w:rsidR="00981E54" w:rsidRPr="00981E54" w14:paraId="53F5912F" w14:textId="77777777" w:rsidTr="005F7019">
        <w:trPr>
          <w:tblCellSpacing w:w="15" w:type="dxa"/>
        </w:trPr>
        <w:tc>
          <w:tcPr>
            <w:tcW w:w="0" w:type="auto"/>
            <w:vAlign w:val="center"/>
            <w:hideMark/>
          </w:tcPr>
          <w:p w14:paraId="1859FFC4" w14:textId="77777777" w:rsidR="00981E54" w:rsidRPr="00981E54" w:rsidRDefault="00981E54" w:rsidP="00981E54">
            <w:r w:rsidRPr="00981E54">
              <w:rPr>
                <w:b/>
                <w:bCs/>
              </w:rPr>
              <w:t>Gasoline </w:t>
            </w:r>
          </w:p>
        </w:tc>
        <w:tc>
          <w:tcPr>
            <w:tcW w:w="0" w:type="auto"/>
            <w:vAlign w:val="center"/>
            <w:hideMark/>
          </w:tcPr>
          <w:p w14:paraId="4FB5C02B" w14:textId="77777777" w:rsidR="00981E54" w:rsidRPr="00981E54" w:rsidRDefault="00981E54" w:rsidP="00981E54">
            <w:r w:rsidRPr="00981E54">
              <w:t>Compact car (Honda Civic)</w:t>
            </w:r>
          </w:p>
        </w:tc>
        <w:tc>
          <w:tcPr>
            <w:tcW w:w="0" w:type="auto"/>
            <w:vAlign w:val="center"/>
            <w:hideMark/>
          </w:tcPr>
          <w:p w14:paraId="0A9A13C8" w14:textId="77777777" w:rsidR="00981E54" w:rsidRPr="00981E54" w:rsidRDefault="00981E54" w:rsidP="00981E54">
            <w:r w:rsidRPr="00981E54">
              <w:t>175–225</w:t>
            </w:r>
          </w:p>
        </w:tc>
      </w:tr>
      <w:tr w:rsidR="00981E54" w:rsidRPr="00981E54" w14:paraId="72EE3BDC" w14:textId="77777777" w:rsidTr="005F7019">
        <w:trPr>
          <w:tblCellSpacing w:w="15" w:type="dxa"/>
        </w:trPr>
        <w:tc>
          <w:tcPr>
            <w:tcW w:w="0" w:type="auto"/>
            <w:vAlign w:val="center"/>
            <w:hideMark/>
          </w:tcPr>
          <w:p w14:paraId="0ECF9464" w14:textId="77777777" w:rsidR="00981E54" w:rsidRPr="00981E54" w:rsidRDefault="00981E54" w:rsidP="00981E54"/>
        </w:tc>
        <w:tc>
          <w:tcPr>
            <w:tcW w:w="0" w:type="auto"/>
            <w:vAlign w:val="center"/>
            <w:hideMark/>
          </w:tcPr>
          <w:p w14:paraId="4C7C6B69" w14:textId="77777777" w:rsidR="00981E54" w:rsidRPr="00981E54" w:rsidRDefault="00981E54" w:rsidP="00981E54">
            <w:r w:rsidRPr="00981E54">
              <w:t>Midsize sedan (Toyota Camry)</w:t>
            </w:r>
          </w:p>
        </w:tc>
        <w:tc>
          <w:tcPr>
            <w:tcW w:w="0" w:type="auto"/>
            <w:vAlign w:val="center"/>
            <w:hideMark/>
          </w:tcPr>
          <w:p w14:paraId="5C3185FE" w14:textId="77777777" w:rsidR="00981E54" w:rsidRPr="00981E54" w:rsidRDefault="00981E54" w:rsidP="00981E54">
            <w:r w:rsidRPr="00981E54">
              <w:t>200–250</w:t>
            </w:r>
          </w:p>
        </w:tc>
      </w:tr>
      <w:tr w:rsidR="00981E54" w:rsidRPr="00981E54" w14:paraId="3B03A637" w14:textId="77777777" w:rsidTr="005F7019">
        <w:trPr>
          <w:tblCellSpacing w:w="15" w:type="dxa"/>
        </w:trPr>
        <w:tc>
          <w:tcPr>
            <w:tcW w:w="0" w:type="auto"/>
            <w:vAlign w:val="center"/>
            <w:hideMark/>
          </w:tcPr>
          <w:p w14:paraId="387B57EA" w14:textId="77777777" w:rsidR="00981E54" w:rsidRPr="00981E54" w:rsidRDefault="00981E54" w:rsidP="00981E54"/>
        </w:tc>
        <w:tc>
          <w:tcPr>
            <w:tcW w:w="0" w:type="auto"/>
            <w:vAlign w:val="center"/>
            <w:hideMark/>
          </w:tcPr>
          <w:p w14:paraId="6EE8828C" w14:textId="77777777" w:rsidR="00981E54" w:rsidRPr="00981E54" w:rsidRDefault="00981E54" w:rsidP="00981E54">
            <w:r w:rsidRPr="00981E54">
              <w:t>SUV (Honda CR-V, Ford Explorer)</w:t>
            </w:r>
          </w:p>
        </w:tc>
        <w:tc>
          <w:tcPr>
            <w:tcW w:w="0" w:type="auto"/>
            <w:vAlign w:val="center"/>
            <w:hideMark/>
          </w:tcPr>
          <w:p w14:paraId="68E52D31" w14:textId="77777777" w:rsidR="00981E54" w:rsidRPr="00981E54" w:rsidRDefault="00981E54" w:rsidP="00981E54">
            <w:r w:rsidRPr="00981E54">
              <w:t>175–225</w:t>
            </w:r>
          </w:p>
        </w:tc>
      </w:tr>
      <w:tr w:rsidR="00981E54" w:rsidRPr="00981E54" w14:paraId="48B61261" w14:textId="77777777" w:rsidTr="005F7019">
        <w:trPr>
          <w:tblCellSpacing w:w="15" w:type="dxa"/>
        </w:trPr>
        <w:tc>
          <w:tcPr>
            <w:tcW w:w="0" w:type="auto"/>
            <w:vAlign w:val="center"/>
            <w:hideMark/>
          </w:tcPr>
          <w:p w14:paraId="160C57A9" w14:textId="77777777" w:rsidR="00981E54" w:rsidRPr="00981E54" w:rsidRDefault="00981E54" w:rsidP="00981E54"/>
        </w:tc>
        <w:tc>
          <w:tcPr>
            <w:tcW w:w="0" w:type="auto"/>
            <w:vAlign w:val="center"/>
            <w:hideMark/>
          </w:tcPr>
          <w:p w14:paraId="728BB367" w14:textId="77777777" w:rsidR="00981E54" w:rsidRPr="00981E54" w:rsidRDefault="00981E54" w:rsidP="00981E54">
            <w:r w:rsidRPr="00981E54">
              <w:t>Pickup (Chevy Silverado, F-150)</w:t>
            </w:r>
          </w:p>
        </w:tc>
        <w:tc>
          <w:tcPr>
            <w:tcW w:w="0" w:type="auto"/>
            <w:vAlign w:val="center"/>
            <w:hideMark/>
          </w:tcPr>
          <w:p w14:paraId="746E5B6B" w14:textId="77777777" w:rsidR="00981E54" w:rsidRPr="00981E54" w:rsidRDefault="00981E54" w:rsidP="00981E54">
            <w:r w:rsidRPr="00981E54">
              <w:t>150–200</w:t>
            </w:r>
          </w:p>
        </w:tc>
      </w:tr>
      <w:tr w:rsidR="00981E54" w:rsidRPr="00981E54" w14:paraId="2019FB72" w14:textId="77777777" w:rsidTr="005F7019">
        <w:trPr>
          <w:tblCellSpacing w:w="15" w:type="dxa"/>
        </w:trPr>
        <w:tc>
          <w:tcPr>
            <w:tcW w:w="0" w:type="auto"/>
            <w:vAlign w:val="center"/>
            <w:hideMark/>
          </w:tcPr>
          <w:p w14:paraId="0BEBEC7B" w14:textId="77777777" w:rsidR="00981E54" w:rsidRPr="00981E54" w:rsidRDefault="00981E54" w:rsidP="00981E54">
            <w:r w:rsidRPr="00981E54">
              <w:rPr>
                <w:b/>
                <w:bCs/>
              </w:rPr>
              <w:t>Hybrid (non-plug-in)</w:t>
            </w:r>
          </w:p>
        </w:tc>
        <w:tc>
          <w:tcPr>
            <w:tcW w:w="0" w:type="auto"/>
            <w:vAlign w:val="center"/>
            <w:hideMark/>
          </w:tcPr>
          <w:p w14:paraId="74DBEAF8" w14:textId="77777777" w:rsidR="00981E54" w:rsidRPr="00981E54" w:rsidRDefault="00981E54" w:rsidP="00981E54">
            <w:r w:rsidRPr="00981E54">
              <w:t>Compact (Toyota Prius)</w:t>
            </w:r>
          </w:p>
        </w:tc>
        <w:tc>
          <w:tcPr>
            <w:tcW w:w="0" w:type="auto"/>
            <w:vAlign w:val="center"/>
            <w:hideMark/>
          </w:tcPr>
          <w:p w14:paraId="33D22674" w14:textId="77777777" w:rsidR="00981E54" w:rsidRPr="00981E54" w:rsidRDefault="00981E54" w:rsidP="00981E54">
            <w:r w:rsidRPr="00981E54">
              <w:t>275–325</w:t>
            </w:r>
          </w:p>
        </w:tc>
      </w:tr>
      <w:tr w:rsidR="00981E54" w:rsidRPr="00981E54" w14:paraId="0E973C09" w14:textId="77777777" w:rsidTr="005F7019">
        <w:trPr>
          <w:tblCellSpacing w:w="15" w:type="dxa"/>
        </w:trPr>
        <w:tc>
          <w:tcPr>
            <w:tcW w:w="0" w:type="auto"/>
            <w:vAlign w:val="center"/>
            <w:hideMark/>
          </w:tcPr>
          <w:p w14:paraId="1FD00CF2" w14:textId="77777777" w:rsidR="00981E54" w:rsidRPr="00981E54" w:rsidRDefault="00981E54" w:rsidP="00981E54"/>
        </w:tc>
        <w:tc>
          <w:tcPr>
            <w:tcW w:w="0" w:type="auto"/>
            <w:vAlign w:val="center"/>
            <w:hideMark/>
          </w:tcPr>
          <w:p w14:paraId="0B8D732A" w14:textId="77777777" w:rsidR="00981E54" w:rsidRPr="00981E54" w:rsidRDefault="00981E54" w:rsidP="00981E54">
            <w:r w:rsidRPr="00981E54">
              <w:t>Midsize sedan (Accord Hybrid)</w:t>
            </w:r>
          </w:p>
        </w:tc>
        <w:tc>
          <w:tcPr>
            <w:tcW w:w="0" w:type="auto"/>
            <w:vAlign w:val="center"/>
            <w:hideMark/>
          </w:tcPr>
          <w:p w14:paraId="4C87BE2A" w14:textId="77777777" w:rsidR="00981E54" w:rsidRPr="00981E54" w:rsidRDefault="00981E54" w:rsidP="00981E54">
            <w:r w:rsidRPr="00981E54">
              <w:t>250–300</w:t>
            </w:r>
          </w:p>
        </w:tc>
      </w:tr>
      <w:tr w:rsidR="00981E54" w:rsidRPr="00981E54" w14:paraId="7DB3AE7F" w14:textId="77777777" w:rsidTr="005F7019">
        <w:trPr>
          <w:tblCellSpacing w:w="15" w:type="dxa"/>
        </w:trPr>
        <w:tc>
          <w:tcPr>
            <w:tcW w:w="0" w:type="auto"/>
            <w:vAlign w:val="center"/>
            <w:hideMark/>
          </w:tcPr>
          <w:p w14:paraId="5AE6D286" w14:textId="77777777" w:rsidR="00981E54" w:rsidRPr="00981E54" w:rsidRDefault="00981E54" w:rsidP="00981E54"/>
        </w:tc>
        <w:tc>
          <w:tcPr>
            <w:tcW w:w="0" w:type="auto"/>
            <w:vAlign w:val="center"/>
            <w:hideMark/>
          </w:tcPr>
          <w:p w14:paraId="642753CA" w14:textId="77777777" w:rsidR="00981E54" w:rsidRPr="00981E54" w:rsidRDefault="00981E54" w:rsidP="00981E54">
            <w:r w:rsidRPr="00981E54">
              <w:t>SUV (Toyota RAV4 Hybrid)</w:t>
            </w:r>
          </w:p>
        </w:tc>
        <w:tc>
          <w:tcPr>
            <w:tcW w:w="0" w:type="auto"/>
            <w:vAlign w:val="center"/>
            <w:hideMark/>
          </w:tcPr>
          <w:p w14:paraId="53C668EA" w14:textId="77777777" w:rsidR="00981E54" w:rsidRPr="00981E54" w:rsidRDefault="00981E54" w:rsidP="00981E54">
            <w:r w:rsidRPr="00981E54">
              <w:t>250–300</w:t>
            </w:r>
          </w:p>
        </w:tc>
      </w:tr>
      <w:tr w:rsidR="00981E54" w:rsidRPr="00981E54" w14:paraId="2C30B554" w14:textId="77777777" w:rsidTr="005F7019">
        <w:trPr>
          <w:tblCellSpacing w:w="15" w:type="dxa"/>
        </w:trPr>
        <w:tc>
          <w:tcPr>
            <w:tcW w:w="0" w:type="auto"/>
            <w:vAlign w:val="center"/>
            <w:hideMark/>
          </w:tcPr>
          <w:p w14:paraId="713A4801" w14:textId="77777777" w:rsidR="00981E54" w:rsidRPr="00981E54" w:rsidRDefault="00981E54" w:rsidP="00981E54"/>
        </w:tc>
        <w:tc>
          <w:tcPr>
            <w:tcW w:w="0" w:type="auto"/>
            <w:vAlign w:val="center"/>
            <w:hideMark/>
          </w:tcPr>
          <w:p w14:paraId="63E93098" w14:textId="77777777" w:rsidR="00981E54" w:rsidRPr="00981E54" w:rsidRDefault="00981E54" w:rsidP="00981E54">
            <w:r w:rsidRPr="00981E54">
              <w:t>Large SUV (Highlander Hybrid)</w:t>
            </w:r>
          </w:p>
        </w:tc>
        <w:tc>
          <w:tcPr>
            <w:tcW w:w="0" w:type="auto"/>
            <w:vAlign w:val="center"/>
            <w:hideMark/>
          </w:tcPr>
          <w:p w14:paraId="03FA1628" w14:textId="77777777" w:rsidR="00981E54" w:rsidRPr="00981E54" w:rsidRDefault="00981E54" w:rsidP="00981E54">
            <w:r w:rsidRPr="00981E54">
              <w:t>225–275</w:t>
            </w:r>
          </w:p>
        </w:tc>
      </w:tr>
      <w:tr w:rsidR="00981E54" w:rsidRPr="00981E54" w14:paraId="52C0899A" w14:textId="77777777" w:rsidTr="005F7019">
        <w:trPr>
          <w:tblCellSpacing w:w="15" w:type="dxa"/>
        </w:trPr>
        <w:tc>
          <w:tcPr>
            <w:tcW w:w="0" w:type="auto"/>
            <w:vAlign w:val="center"/>
            <w:hideMark/>
          </w:tcPr>
          <w:p w14:paraId="63A92537" w14:textId="77777777" w:rsidR="00981E54" w:rsidRPr="00981E54" w:rsidRDefault="00981E54" w:rsidP="00981E54">
            <w:r w:rsidRPr="00981E54">
              <w:rPr>
                <w:b/>
                <w:bCs/>
              </w:rPr>
              <w:t>Plug-in Hybrid (PHEV)</w:t>
            </w:r>
          </w:p>
        </w:tc>
        <w:tc>
          <w:tcPr>
            <w:tcW w:w="0" w:type="auto"/>
            <w:vAlign w:val="center"/>
            <w:hideMark/>
          </w:tcPr>
          <w:p w14:paraId="6B0596AE" w14:textId="77777777" w:rsidR="00981E54" w:rsidRPr="00981E54" w:rsidRDefault="00981E54" w:rsidP="00981E54">
            <w:r w:rsidRPr="00981E54">
              <w:t>Compact (Prius Prime)</w:t>
            </w:r>
          </w:p>
        </w:tc>
        <w:tc>
          <w:tcPr>
            <w:tcW w:w="0" w:type="auto"/>
            <w:vAlign w:val="center"/>
            <w:hideMark/>
          </w:tcPr>
          <w:p w14:paraId="50727A09" w14:textId="77777777" w:rsidR="00981E54" w:rsidRPr="00981E54" w:rsidRDefault="00981E54" w:rsidP="00981E54">
            <w:r w:rsidRPr="00981E54">
              <w:t>12–20 EV + 250 total</w:t>
            </w:r>
          </w:p>
        </w:tc>
      </w:tr>
      <w:tr w:rsidR="00981E54" w:rsidRPr="00981E54" w14:paraId="0441B8B3" w14:textId="77777777" w:rsidTr="005F7019">
        <w:trPr>
          <w:tblCellSpacing w:w="15" w:type="dxa"/>
        </w:trPr>
        <w:tc>
          <w:tcPr>
            <w:tcW w:w="0" w:type="auto"/>
            <w:vAlign w:val="center"/>
            <w:hideMark/>
          </w:tcPr>
          <w:p w14:paraId="3F6BCD16" w14:textId="77777777" w:rsidR="00981E54" w:rsidRPr="00981E54" w:rsidRDefault="00981E54" w:rsidP="00981E54"/>
        </w:tc>
        <w:tc>
          <w:tcPr>
            <w:tcW w:w="0" w:type="auto"/>
            <w:vAlign w:val="center"/>
            <w:hideMark/>
          </w:tcPr>
          <w:p w14:paraId="25A78D4D" w14:textId="77777777" w:rsidR="00981E54" w:rsidRPr="00981E54" w:rsidRDefault="00981E54" w:rsidP="00981E54">
            <w:r w:rsidRPr="00981E54">
              <w:t>SUV (RAV4 Prime)</w:t>
            </w:r>
          </w:p>
        </w:tc>
        <w:tc>
          <w:tcPr>
            <w:tcW w:w="0" w:type="auto"/>
            <w:vAlign w:val="center"/>
            <w:hideMark/>
          </w:tcPr>
          <w:p w14:paraId="27E48151" w14:textId="77777777" w:rsidR="00981E54" w:rsidRPr="00981E54" w:rsidRDefault="00981E54" w:rsidP="00981E54">
            <w:r w:rsidRPr="00981E54">
              <w:t>20–22 EV + 275 total</w:t>
            </w:r>
          </w:p>
        </w:tc>
      </w:tr>
      <w:tr w:rsidR="00981E54" w:rsidRPr="00981E54" w14:paraId="49EFF6E7" w14:textId="77777777" w:rsidTr="005F7019">
        <w:trPr>
          <w:tblCellSpacing w:w="15" w:type="dxa"/>
        </w:trPr>
        <w:tc>
          <w:tcPr>
            <w:tcW w:w="0" w:type="auto"/>
            <w:vAlign w:val="center"/>
            <w:hideMark/>
          </w:tcPr>
          <w:p w14:paraId="68576E50" w14:textId="77777777" w:rsidR="00981E54" w:rsidRPr="00981E54" w:rsidRDefault="00981E54" w:rsidP="00981E54"/>
        </w:tc>
        <w:tc>
          <w:tcPr>
            <w:tcW w:w="0" w:type="auto"/>
            <w:vAlign w:val="center"/>
            <w:hideMark/>
          </w:tcPr>
          <w:p w14:paraId="7D2FD13E" w14:textId="77777777" w:rsidR="00981E54" w:rsidRPr="00981E54" w:rsidRDefault="00981E54" w:rsidP="00981E54">
            <w:r w:rsidRPr="00981E54">
              <w:t>Minivan (Pacifica Hybrid)</w:t>
            </w:r>
          </w:p>
        </w:tc>
        <w:tc>
          <w:tcPr>
            <w:tcW w:w="0" w:type="auto"/>
            <w:vAlign w:val="center"/>
            <w:hideMark/>
          </w:tcPr>
          <w:p w14:paraId="2E7B4417" w14:textId="77777777" w:rsidR="00981E54" w:rsidRPr="00981E54" w:rsidRDefault="00981E54" w:rsidP="00981E54">
            <w:r w:rsidRPr="00981E54">
              <w:t>15–18 EV + 260 total</w:t>
            </w:r>
          </w:p>
        </w:tc>
      </w:tr>
      <w:tr w:rsidR="00981E54" w:rsidRPr="00981E54" w14:paraId="26B043C4" w14:textId="77777777" w:rsidTr="005F7019">
        <w:trPr>
          <w:tblCellSpacing w:w="15" w:type="dxa"/>
        </w:trPr>
        <w:tc>
          <w:tcPr>
            <w:tcW w:w="0" w:type="auto"/>
            <w:vAlign w:val="center"/>
            <w:hideMark/>
          </w:tcPr>
          <w:p w14:paraId="15DFDFE0" w14:textId="77777777" w:rsidR="00981E54" w:rsidRPr="00981E54" w:rsidRDefault="00981E54" w:rsidP="00981E54">
            <w:r w:rsidRPr="00981E54">
              <w:rPr>
                <w:b/>
                <w:bCs/>
              </w:rPr>
              <w:t>Battery EV</w:t>
            </w:r>
          </w:p>
        </w:tc>
        <w:tc>
          <w:tcPr>
            <w:tcW w:w="0" w:type="auto"/>
            <w:vAlign w:val="center"/>
            <w:hideMark/>
          </w:tcPr>
          <w:p w14:paraId="489C53B0" w14:textId="77777777" w:rsidR="00981E54" w:rsidRPr="00981E54" w:rsidRDefault="00981E54" w:rsidP="00981E54">
            <w:r w:rsidRPr="00981E54">
              <w:t>Compact (Leaf, Mini SE)</w:t>
            </w:r>
          </w:p>
        </w:tc>
        <w:tc>
          <w:tcPr>
            <w:tcW w:w="0" w:type="auto"/>
            <w:vAlign w:val="center"/>
            <w:hideMark/>
          </w:tcPr>
          <w:p w14:paraId="3043736F" w14:textId="77777777" w:rsidR="00981E54" w:rsidRPr="00981E54" w:rsidRDefault="00981E54" w:rsidP="00981E54">
            <w:r w:rsidRPr="00981E54">
              <w:t>75–110</w:t>
            </w:r>
          </w:p>
        </w:tc>
      </w:tr>
      <w:tr w:rsidR="00981E54" w:rsidRPr="00981E54" w14:paraId="4087C4F0" w14:textId="77777777" w:rsidTr="005F7019">
        <w:trPr>
          <w:tblCellSpacing w:w="15" w:type="dxa"/>
        </w:trPr>
        <w:tc>
          <w:tcPr>
            <w:tcW w:w="0" w:type="auto"/>
            <w:vAlign w:val="center"/>
            <w:hideMark/>
          </w:tcPr>
          <w:p w14:paraId="532472E5" w14:textId="77777777" w:rsidR="00981E54" w:rsidRPr="00981E54" w:rsidRDefault="00981E54" w:rsidP="00981E54"/>
        </w:tc>
        <w:tc>
          <w:tcPr>
            <w:tcW w:w="0" w:type="auto"/>
            <w:vAlign w:val="center"/>
            <w:hideMark/>
          </w:tcPr>
          <w:p w14:paraId="385899FA" w14:textId="77777777" w:rsidR="00981E54" w:rsidRPr="00981E54" w:rsidRDefault="00981E54" w:rsidP="00981E54">
            <w:r w:rsidRPr="00981E54">
              <w:t>Hatchback (Chevy Bolt)</w:t>
            </w:r>
          </w:p>
        </w:tc>
        <w:tc>
          <w:tcPr>
            <w:tcW w:w="0" w:type="auto"/>
            <w:vAlign w:val="center"/>
            <w:hideMark/>
          </w:tcPr>
          <w:p w14:paraId="3A17DD0B" w14:textId="77777777" w:rsidR="00981E54" w:rsidRPr="00981E54" w:rsidRDefault="00981E54" w:rsidP="00981E54">
            <w:r w:rsidRPr="00981E54">
              <w:t>~130</w:t>
            </w:r>
          </w:p>
        </w:tc>
      </w:tr>
      <w:tr w:rsidR="00981E54" w:rsidRPr="00981E54" w14:paraId="2E11A039" w14:textId="77777777" w:rsidTr="005F7019">
        <w:trPr>
          <w:tblCellSpacing w:w="15" w:type="dxa"/>
        </w:trPr>
        <w:tc>
          <w:tcPr>
            <w:tcW w:w="0" w:type="auto"/>
            <w:vAlign w:val="center"/>
            <w:hideMark/>
          </w:tcPr>
          <w:p w14:paraId="339B1224" w14:textId="77777777" w:rsidR="00981E54" w:rsidRPr="00981E54" w:rsidRDefault="00981E54" w:rsidP="00981E54"/>
        </w:tc>
        <w:tc>
          <w:tcPr>
            <w:tcW w:w="0" w:type="auto"/>
            <w:vAlign w:val="center"/>
            <w:hideMark/>
          </w:tcPr>
          <w:p w14:paraId="5F13B895" w14:textId="77777777" w:rsidR="00981E54" w:rsidRPr="00981E54" w:rsidRDefault="00981E54" w:rsidP="00981E54">
            <w:r w:rsidRPr="00981E54">
              <w:t>Sedan (Tesla 3 LR, Ioniq 6)</w:t>
            </w:r>
          </w:p>
        </w:tc>
        <w:tc>
          <w:tcPr>
            <w:tcW w:w="0" w:type="auto"/>
            <w:vAlign w:val="center"/>
            <w:hideMark/>
          </w:tcPr>
          <w:p w14:paraId="129D0D3D" w14:textId="77777777" w:rsidR="00981E54" w:rsidRPr="00981E54" w:rsidRDefault="00981E54" w:rsidP="00981E54">
            <w:r w:rsidRPr="00981E54">
              <w:t>150–180</w:t>
            </w:r>
          </w:p>
        </w:tc>
      </w:tr>
      <w:tr w:rsidR="00981E54" w:rsidRPr="00981E54" w14:paraId="5E6ED564" w14:textId="77777777" w:rsidTr="005F7019">
        <w:trPr>
          <w:tblCellSpacing w:w="15" w:type="dxa"/>
        </w:trPr>
        <w:tc>
          <w:tcPr>
            <w:tcW w:w="0" w:type="auto"/>
            <w:vAlign w:val="center"/>
            <w:hideMark/>
          </w:tcPr>
          <w:p w14:paraId="753C73FC" w14:textId="77777777" w:rsidR="00981E54" w:rsidRPr="00981E54" w:rsidRDefault="00981E54" w:rsidP="00981E54"/>
        </w:tc>
        <w:tc>
          <w:tcPr>
            <w:tcW w:w="0" w:type="auto"/>
            <w:vAlign w:val="center"/>
            <w:hideMark/>
          </w:tcPr>
          <w:p w14:paraId="2B3A7D1D" w14:textId="77777777" w:rsidR="00981E54" w:rsidRPr="00981E54" w:rsidRDefault="00981E54" w:rsidP="00981E54">
            <w:r w:rsidRPr="00981E54">
              <w:t>SUV (Tesla Y, Kia EV6)</w:t>
            </w:r>
          </w:p>
        </w:tc>
        <w:tc>
          <w:tcPr>
            <w:tcW w:w="0" w:type="auto"/>
            <w:vAlign w:val="center"/>
            <w:hideMark/>
          </w:tcPr>
          <w:p w14:paraId="7DDE9108" w14:textId="77777777" w:rsidR="00981E54" w:rsidRPr="00981E54" w:rsidRDefault="00981E54" w:rsidP="00981E54">
            <w:r w:rsidRPr="00981E54">
              <w:t>125–160</w:t>
            </w:r>
          </w:p>
        </w:tc>
      </w:tr>
      <w:tr w:rsidR="00981E54" w:rsidRPr="00981E54" w14:paraId="52AC3BDD" w14:textId="77777777" w:rsidTr="005F7019">
        <w:trPr>
          <w:tblCellSpacing w:w="15" w:type="dxa"/>
        </w:trPr>
        <w:tc>
          <w:tcPr>
            <w:tcW w:w="0" w:type="auto"/>
            <w:vAlign w:val="center"/>
            <w:hideMark/>
          </w:tcPr>
          <w:p w14:paraId="5CFD5656" w14:textId="77777777" w:rsidR="00981E54" w:rsidRPr="00981E54" w:rsidRDefault="00981E54" w:rsidP="00981E54"/>
        </w:tc>
        <w:tc>
          <w:tcPr>
            <w:tcW w:w="0" w:type="auto"/>
            <w:vAlign w:val="center"/>
            <w:hideMark/>
          </w:tcPr>
          <w:p w14:paraId="7DE6087D" w14:textId="77777777" w:rsidR="00981E54" w:rsidRPr="00981E54" w:rsidRDefault="00981E54" w:rsidP="00981E54">
            <w:r w:rsidRPr="00981E54">
              <w:t>Long-range (Tesla S, Lucid Air)</w:t>
            </w:r>
          </w:p>
        </w:tc>
        <w:tc>
          <w:tcPr>
            <w:tcW w:w="0" w:type="auto"/>
            <w:vAlign w:val="center"/>
            <w:hideMark/>
          </w:tcPr>
          <w:p w14:paraId="7CE0AF26" w14:textId="77777777" w:rsidR="00981E54" w:rsidRPr="00981E54" w:rsidRDefault="00981E54" w:rsidP="00981E54">
            <w:r w:rsidRPr="00981E54">
              <w:t>175–250</w:t>
            </w:r>
          </w:p>
        </w:tc>
      </w:tr>
    </w:tbl>
    <w:p w14:paraId="34817F41" w14:textId="77777777" w:rsidR="00981E54" w:rsidRPr="00981E54" w:rsidRDefault="00981E54" w:rsidP="00981E54">
      <w:r w:rsidRPr="00981E54">
        <w:pict w14:anchorId="2FBEB178">
          <v:rect id="_x0000_i1044" style="width:0;height:1.5pt" o:hralign="center" o:hrstd="t" o:hr="t" fillcolor="#a0a0a0" stroked="f"/>
        </w:pict>
      </w:r>
    </w:p>
    <w:p w14:paraId="66FB9EA7" w14:textId="0ED63754" w:rsidR="00981E54" w:rsidRPr="00981E54" w:rsidRDefault="00981E54" w:rsidP="00981E54">
      <w:r w:rsidRPr="00981E54">
        <w:t xml:space="preserve">For reference, approximate driving distance from </w:t>
      </w:r>
      <w:r w:rsidR="005F7019">
        <w:t>Oregon House</w:t>
      </w:r>
      <w:r w:rsidRPr="00981E54">
        <w:t>:</w:t>
      </w:r>
    </w:p>
    <w:p w14:paraId="5E0255CA" w14:textId="77777777" w:rsidR="00981E54" w:rsidRPr="00981E54" w:rsidRDefault="00981E54" w:rsidP="00981E54">
      <w:pPr>
        <w:numPr>
          <w:ilvl w:val="0"/>
          <w:numId w:val="1"/>
        </w:numPr>
      </w:pPr>
      <w:r w:rsidRPr="00981E54">
        <w:rPr>
          <w:b/>
          <w:bCs/>
        </w:rPr>
        <w:t>Yuba-Sutter/Oroville</w:t>
      </w:r>
      <w:r w:rsidRPr="00981E54">
        <w:t xml:space="preserve"> — 26 mi</w:t>
      </w:r>
    </w:p>
    <w:p w14:paraId="1AA22085" w14:textId="77777777" w:rsidR="00981E54" w:rsidRPr="00981E54" w:rsidRDefault="00981E54" w:rsidP="00981E54">
      <w:pPr>
        <w:numPr>
          <w:ilvl w:val="0"/>
          <w:numId w:val="1"/>
        </w:numPr>
      </w:pPr>
      <w:r w:rsidRPr="00981E54">
        <w:rPr>
          <w:b/>
          <w:bCs/>
        </w:rPr>
        <w:t>Grass Valley</w:t>
      </w:r>
      <w:r w:rsidRPr="00981E54">
        <w:t xml:space="preserve"> — 35 mi</w:t>
      </w:r>
    </w:p>
    <w:p w14:paraId="58C644A3" w14:textId="77777777" w:rsidR="00981E54" w:rsidRPr="00981E54" w:rsidRDefault="00981E54" w:rsidP="00981E54">
      <w:pPr>
        <w:numPr>
          <w:ilvl w:val="0"/>
          <w:numId w:val="1"/>
        </w:numPr>
      </w:pPr>
      <w:r w:rsidRPr="00981E54">
        <w:rPr>
          <w:b/>
          <w:bCs/>
        </w:rPr>
        <w:t>Chico</w:t>
      </w:r>
      <w:r w:rsidRPr="00981E54">
        <w:t xml:space="preserve"> — 46 mi</w:t>
      </w:r>
    </w:p>
    <w:p w14:paraId="49441581" w14:textId="77777777" w:rsidR="00981E54" w:rsidRPr="00981E54" w:rsidRDefault="00981E54" w:rsidP="00981E54">
      <w:pPr>
        <w:numPr>
          <w:ilvl w:val="0"/>
          <w:numId w:val="1"/>
        </w:numPr>
      </w:pPr>
      <w:r w:rsidRPr="00981E54">
        <w:rPr>
          <w:b/>
          <w:bCs/>
        </w:rPr>
        <w:t>Sacramento</w:t>
      </w:r>
      <w:r w:rsidRPr="00981E54">
        <w:t xml:space="preserve"> — 68 mi</w:t>
      </w:r>
    </w:p>
    <w:p w14:paraId="53F9CC1B" w14:textId="77777777" w:rsidR="00981E54" w:rsidRPr="00981E54" w:rsidRDefault="00981E54" w:rsidP="00981E54">
      <w:pPr>
        <w:numPr>
          <w:ilvl w:val="0"/>
          <w:numId w:val="1"/>
        </w:numPr>
      </w:pPr>
      <w:r w:rsidRPr="00981E54">
        <w:rPr>
          <w:b/>
          <w:bCs/>
        </w:rPr>
        <w:t>Vacaville</w:t>
      </w:r>
      <w:r w:rsidRPr="00981E54">
        <w:t xml:space="preserve"> -- 100 mi</w:t>
      </w:r>
    </w:p>
    <w:p w14:paraId="31180445" w14:textId="77777777" w:rsidR="00981E54" w:rsidRPr="00981E54" w:rsidRDefault="00981E54" w:rsidP="00981E54">
      <w:pPr>
        <w:numPr>
          <w:ilvl w:val="0"/>
          <w:numId w:val="1"/>
        </w:numPr>
      </w:pPr>
      <w:r w:rsidRPr="00981E54">
        <w:rPr>
          <w:b/>
          <w:bCs/>
        </w:rPr>
        <w:t>Stockton</w:t>
      </w:r>
      <w:r w:rsidRPr="00981E54">
        <w:t xml:space="preserve"> — 115 mi</w:t>
      </w:r>
    </w:p>
    <w:p w14:paraId="0168AA74" w14:textId="77777777" w:rsidR="00981E54" w:rsidRPr="00981E54" w:rsidRDefault="00981E54" w:rsidP="00981E54">
      <w:pPr>
        <w:numPr>
          <w:ilvl w:val="0"/>
          <w:numId w:val="1"/>
        </w:numPr>
      </w:pPr>
      <w:r w:rsidRPr="00981E54">
        <w:rPr>
          <w:b/>
          <w:bCs/>
        </w:rPr>
        <w:t>Redding</w:t>
      </w:r>
      <w:r w:rsidRPr="00981E54">
        <w:t xml:space="preserve"> — 117 mi</w:t>
      </w:r>
    </w:p>
    <w:p w14:paraId="275FE063" w14:textId="77777777" w:rsidR="00981E54" w:rsidRPr="00981E54" w:rsidRDefault="00981E54" w:rsidP="00981E54">
      <w:pPr>
        <w:numPr>
          <w:ilvl w:val="0"/>
          <w:numId w:val="1"/>
        </w:numPr>
      </w:pPr>
      <w:r w:rsidRPr="00981E54">
        <w:rPr>
          <w:b/>
          <w:bCs/>
        </w:rPr>
        <w:t>Reno</w:t>
      </w:r>
      <w:r w:rsidRPr="00981E54">
        <w:t xml:space="preserve"> — 117 mi</w:t>
      </w:r>
    </w:p>
    <w:p w14:paraId="242FEAF1" w14:textId="77777777" w:rsidR="00981E54" w:rsidRPr="00981E54" w:rsidRDefault="00981E54" w:rsidP="00981E54">
      <w:pPr>
        <w:numPr>
          <w:ilvl w:val="0"/>
          <w:numId w:val="1"/>
        </w:numPr>
      </w:pPr>
      <w:r w:rsidRPr="00981E54">
        <w:rPr>
          <w:b/>
          <w:bCs/>
        </w:rPr>
        <w:t>San Francisco</w:t>
      </w:r>
      <w:r w:rsidRPr="00981E54">
        <w:t xml:space="preserve"> — 147 mi</w:t>
      </w:r>
    </w:p>
    <w:p w14:paraId="5D54EEA3" w14:textId="77777777" w:rsidR="00981E54" w:rsidRPr="00981E54" w:rsidRDefault="00981E54" w:rsidP="00981E54">
      <w:pPr>
        <w:numPr>
          <w:ilvl w:val="0"/>
          <w:numId w:val="1"/>
        </w:numPr>
      </w:pPr>
      <w:r w:rsidRPr="00981E54">
        <w:rPr>
          <w:b/>
          <w:bCs/>
        </w:rPr>
        <w:t>Monterey</w:t>
      </w:r>
      <w:r w:rsidRPr="00981E54">
        <w:t xml:space="preserve"> — 187 mi</w:t>
      </w:r>
    </w:p>
    <w:p w14:paraId="1E53C590" w14:textId="77777777" w:rsidR="00981E54" w:rsidRPr="00981E54" w:rsidRDefault="00981E54" w:rsidP="00981E54">
      <w:r w:rsidRPr="00981E54">
        <w:pict w14:anchorId="41AB22BC">
          <v:rect id="_x0000_i1045" style="width:0;height:1.5pt" o:hralign="center" o:hrstd="t" o:hr="t" fillcolor="#a0a0a0" stroked="f"/>
        </w:pict>
      </w:r>
    </w:p>
    <w:p w14:paraId="0ECED51F" w14:textId="77777777" w:rsidR="00981E54" w:rsidRPr="00981E54" w:rsidRDefault="00981E54" w:rsidP="00981E54">
      <w:r w:rsidRPr="00981E54">
        <w:t>You may already know your vehicle's gas mileage and/or range, so you can calculate more exactly how far it will go.  Other factors affecting the actual range would be heavy traffic, and roadblocks or detours due to accidents or hazards.  Include any worst-case scenarios when planning for emergencies.</w:t>
      </w:r>
    </w:p>
    <w:p w14:paraId="0C03826A" w14:textId="77777777" w:rsidR="00981E54" w:rsidRDefault="00981E54"/>
    <w:sectPr w:rsidR="00981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7E3D"/>
    <w:multiLevelType w:val="multilevel"/>
    <w:tmpl w:val="9B78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50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4"/>
    <w:rsid w:val="005F7019"/>
    <w:rsid w:val="00981E54"/>
    <w:rsid w:val="00F7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BDEB"/>
  <w15:chartTrackingRefBased/>
  <w15:docId w15:val="{3216329A-1E0D-4DB3-9955-924FD9B6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E54"/>
    <w:rPr>
      <w:rFonts w:eastAsiaTheme="majorEastAsia" w:cstheme="majorBidi"/>
      <w:color w:val="272727" w:themeColor="text1" w:themeTint="D8"/>
    </w:rPr>
  </w:style>
  <w:style w:type="paragraph" w:styleId="Title">
    <w:name w:val="Title"/>
    <w:basedOn w:val="Normal"/>
    <w:next w:val="Normal"/>
    <w:link w:val="TitleChar"/>
    <w:uiPriority w:val="10"/>
    <w:qFormat/>
    <w:rsid w:val="00981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E54"/>
    <w:pPr>
      <w:spacing w:before="160"/>
      <w:jc w:val="center"/>
    </w:pPr>
    <w:rPr>
      <w:i/>
      <w:iCs/>
      <w:color w:val="404040" w:themeColor="text1" w:themeTint="BF"/>
    </w:rPr>
  </w:style>
  <w:style w:type="character" w:customStyle="1" w:styleId="QuoteChar">
    <w:name w:val="Quote Char"/>
    <w:basedOn w:val="DefaultParagraphFont"/>
    <w:link w:val="Quote"/>
    <w:uiPriority w:val="29"/>
    <w:rsid w:val="00981E54"/>
    <w:rPr>
      <w:i/>
      <w:iCs/>
      <w:color w:val="404040" w:themeColor="text1" w:themeTint="BF"/>
    </w:rPr>
  </w:style>
  <w:style w:type="paragraph" w:styleId="ListParagraph">
    <w:name w:val="List Paragraph"/>
    <w:basedOn w:val="Normal"/>
    <w:uiPriority w:val="34"/>
    <w:qFormat/>
    <w:rsid w:val="00981E54"/>
    <w:pPr>
      <w:ind w:left="720"/>
      <w:contextualSpacing/>
    </w:pPr>
  </w:style>
  <w:style w:type="character" w:styleId="IntenseEmphasis">
    <w:name w:val="Intense Emphasis"/>
    <w:basedOn w:val="DefaultParagraphFont"/>
    <w:uiPriority w:val="21"/>
    <w:qFormat/>
    <w:rsid w:val="00981E54"/>
    <w:rPr>
      <w:i/>
      <w:iCs/>
      <w:color w:val="0F4761" w:themeColor="accent1" w:themeShade="BF"/>
    </w:rPr>
  </w:style>
  <w:style w:type="paragraph" w:styleId="IntenseQuote">
    <w:name w:val="Intense Quote"/>
    <w:basedOn w:val="Normal"/>
    <w:next w:val="Normal"/>
    <w:link w:val="IntenseQuoteChar"/>
    <w:uiPriority w:val="30"/>
    <w:qFormat/>
    <w:rsid w:val="00981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E54"/>
    <w:rPr>
      <w:i/>
      <w:iCs/>
      <w:color w:val="0F4761" w:themeColor="accent1" w:themeShade="BF"/>
    </w:rPr>
  </w:style>
  <w:style w:type="character" w:styleId="IntenseReference">
    <w:name w:val="Intense Reference"/>
    <w:basedOn w:val="DefaultParagraphFont"/>
    <w:uiPriority w:val="32"/>
    <w:qFormat/>
    <w:rsid w:val="00981E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1424</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Jaramillo</dc:creator>
  <cp:keywords/>
  <dc:description/>
  <cp:lastModifiedBy>Sonia Jaramillo</cp:lastModifiedBy>
  <cp:revision>1</cp:revision>
  <dcterms:created xsi:type="dcterms:W3CDTF">2025-10-08T01:55:00Z</dcterms:created>
  <dcterms:modified xsi:type="dcterms:W3CDTF">2025-10-09T20:14:00Z</dcterms:modified>
</cp:coreProperties>
</file>